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华南农业大学诉讼与仲裁案件办理流程</w:t>
      </w:r>
    </w:p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4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</w:rPr>
        <w:t>学校办理应诉案件基本流程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（一）收到司法机关或仲裁机构法律文书的单位，于接收当日按学校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规定</w:t>
      </w:r>
      <w:r>
        <w:rPr>
          <w:rFonts w:hint="eastAsia" w:ascii="仿宋" w:hAnsi="仿宋" w:eastAsia="仿宋"/>
          <w:sz w:val="32"/>
          <w:szCs w:val="32"/>
        </w:rPr>
        <w:t>报送党政办公室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办理收文流程，报分管校领导阅示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484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承办单位明确1名单位主要领导主管本项诉讼、仲裁案件，确定至少1名承办人负责诉讼、仲裁具体工作。如涉及其他相关单位的，承办单位可根据实际需要会相关单位进行处理。承办单位遵照法律规定程序、法定时限，梳理案件事实、收集证据材料、拟定诉讼策略和法律文书、形成办理方案，</w:t>
      </w:r>
      <w:r>
        <w:rPr>
          <w:rFonts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z w:val="32"/>
          <w:szCs w:val="32"/>
        </w:rPr>
        <w:t>分管校领导</w:t>
      </w:r>
      <w:r>
        <w:rPr>
          <w:rFonts w:ascii="仿宋" w:hAnsi="仿宋" w:eastAsia="仿宋"/>
          <w:sz w:val="32"/>
          <w:szCs w:val="32"/>
        </w:rPr>
        <w:t>或校党委常委会、校长办公会审议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案件的进展情况</w:t>
      </w:r>
      <w:r>
        <w:rPr>
          <w:rFonts w:hint="eastAsia" w:ascii="仿宋" w:hAnsi="仿宋" w:eastAsia="仿宋"/>
          <w:sz w:val="32"/>
          <w:szCs w:val="32"/>
        </w:rPr>
        <w:t>或遇有重大问题</w:t>
      </w:r>
      <w:r>
        <w:rPr>
          <w:rFonts w:ascii="仿宋" w:hAnsi="仿宋" w:eastAsia="仿宋"/>
          <w:sz w:val="32"/>
          <w:szCs w:val="32"/>
        </w:rPr>
        <w:t>应当及时向</w:t>
      </w:r>
      <w:r>
        <w:rPr>
          <w:rFonts w:hint="eastAsia" w:ascii="仿宋" w:hAnsi="仿宋" w:eastAsia="仿宋"/>
          <w:sz w:val="32"/>
          <w:szCs w:val="32"/>
        </w:rPr>
        <w:t>分管校领导</w:t>
      </w:r>
      <w:r>
        <w:rPr>
          <w:rFonts w:ascii="仿宋" w:hAnsi="仿宋" w:eastAsia="仿宋"/>
          <w:sz w:val="32"/>
          <w:szCs w:val="32"/>
        </w:rPr>
        <w:t>汇报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4" w:lineRule="exact"/>
        <w:ind w:firstLine="48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）党政办公室有权查阅涉案材料及相关文件，必要时邀请法律顾问参与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案件研讨</w:t>
      </w:r>
      <w:r>
        <w:rPr>
          <w:rFonts w:hint="eastAsia" w:ascii="仿宋" w:hAnsi="仿宋" w:eastAsia="仿宋"/>
          <w:sz w:val="32"/>
          <w:szCs w:val="32"/>
        </w:rPr>
        <w:t>。案件工作组成员单位应当积极配合，按要求全面、客观地提供所需资料信息或协助办理相关事项。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4" w:lineRule="exact"/>
        <w:ind w:firstLine="48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）承办单位根据学校意见，完善诉讼策略、法律文书和证据材料，指定专人出庭应诉。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4" w:lineRule="exact"/>
        <w:ind w:firstLine="48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）承办单位及其工作人员应当维护学校合法权益，并及时向学校汇报进展情况和判决结果。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4" w:lineRule="exact"/>
        <w:ind w:firstLine="48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）承办单位根据最终判决或者仲裁结果跟进执行。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4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b/>
          <w:bCs/>
          <w:sz w:val="32"/>
          <w:szCs w:val="32"/>
        </w:rPr>
        <w:t>学校办理起诉案件基本流程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4" w:lineRule="exact"/>
        <w:ind w:firstLine="640" w:firstLineChars="200"/>
        <w:textAlignment w:val="auto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（一）承办单位拟采取诉讼、仲裁方式解决各类纠纷的，应当提出诉讼、仲裁的申请，报分管校领导或</w:t>
      </w:r>
      <w:r>
        <w:rPr>
          <w:rFonts w:ascii="仿宋" w:hAnsi="仿宋" w:eastAsia="仿宋"/>
          <w:sz w:val="32"/>
          <w:szCs w:val="32"/>
        </w:rPr>
        <w:t>校党委常委会、校长办公会</w:t>
      </w:r>
      <w:r>
        <w:rPr>
          <w:rFonts w:hint="eastAsia" w:ascii="仿宋" w:hAnsi="仿宋" w:eastAsia="仿宋" w:cs="微软雅黑"/>
          <w:sz w:val="32"/>
          <w:szCs w:val="32"/>
        </w:rPr>
        <w:t>审议。</w:t>
      </w:r>
    </w:p>
    <w:p>
      <w:pPr>
        <w:spacing w:line="484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（二）经学校研究决定起诉的，由承办单位具体负责案件办理。如涉及多个二级单位的，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承办单位可根据实际需要会相关单位进行处理</w:t>
      </w:r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484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（三）承办单位明确1名单位负责人主管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本项</w:t>
      </w:r>
      <w:r>
        <w:rPr>
          <w:rFonts w:hint="eastAsia" w:ascii="仿宋" w:hAnsi="仿宋" w:eastAsia="仿宋"/>
          <w:sz w:val="32"/>
          <w:szCs w:val="32"/>
        </w:rPr>
        <w:t>诉讼、仲裁案件，确定至少1名承办人负责诉讼、仲裁具体工作。承办单位负责收集证据材料、梳理案件事实、拟定诉讼策略和法律文书、形成办理方案，</w:t>
      </w:r>
      <w:r>
        <w:rPr>
          <w:rFonts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z w:val="32"/>
          <w:szCs w:val="32"/>
        </w:rPr>
        <w:t>分管校领导</w:t>
      </w:r>
      <w:r>
        <w:rPr>
          <w:rFonts w:ascii="仿宋" w:hAnsi="仿宋" w:eastAsia="仿宋"/>
          <w:sz w:val="32"/>
          <w:szCs w:val="32"/>
        </w:rPr>
        <w:t>或校党委常委会、校长办公会审议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案件的进展情况</w:t>
      </w:r>
      <w:r>
        <w:rPr>
          <w:rFonts w:hint="eastAsia" w:ascii="仿宋" w:hAnsi="仿宋" w:eastAsia="仿宋"/>
          <w:sz w:val="32"/>
          <w:szCs w:val="32"/>
        </w:rPr>
        <w:t>或遇有重大问题</w:t>
      </w:r>
      <w:r>
        <w:rPr>
          <w:rFonts w:ascii="仿宋" w:hAnsi="仿宋" w:eastAsia="仿宋"/>
          <w:sz w:val="32"/>
          <w:szCs w:val="32"/>
        </w:rPr>
        <w:t>应当及时向</w:t>
      </w:r>
      <w:r>
        <w:rPr>
          <w:rFonts w:hint="eastAsia" w:ascii="仿宋" w:hAnsi="仿宋" w:eastAsia="仿宋"/>
          <w:sz w:val="32"/>
          <w:szCs w:val="32"/>
        </w:rPr>
        <w:t>分管校领导</w:t>
      </w:r>
      <w:r>
        <w:rPr>
          <w:rFonts w:ascii="仿宋" w:hAnsi="仿宋" w:eastAsia="仿宋"/>
          <w:sz w:val="32"/>
          <w:szCs w:val="32"/>
        </w:rPr>
        <w:t>汇报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4" w:lineRule="exact"/>
        <w:ind w:firstLine="48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（四）党政办公室有权查阅涉案材料及相关文件，必要时邀请法律顾问参与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案件研讨</w:t>
      </w:r>
      <w:r>
        <w:rPr>
          <w:rFonts w:hint="eastAsia" w:ascii="仿宋" w:hAnsi="仿宋" w:eastAsia="仿宋"/>
          <w:sz w:val="32"/>
          <w:szCs w:val="32"/>
        </w:rPr>
        <w:t>。案件工作组成员单位应当积极配合，按要求全面、客观地提供所需资料信息或协助办理相关事项。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）承办单位根据学校意见，完善诉讼策略、法律文书和证据材料，向有管辖权的法院或者仲裁机构提起诉讼或仲裁申请。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）法院或仲裁机构立案后，承办单位指定专人出庭诉讼，并及时向学校汇报进展情况和判决结果。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）诉讼结束后，承办单位依照法院最终判决或者仲裁结果申请执行。</w:t>
      </w:r>
    </w:p>
    <w:p>
      <w:pPr>
        <w:ind w:firstLine="643" w:firstLineChars="20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三、归档工作要求</w:t>
      </w:r>
    </w:p>
    <w:p>
      <w:pPr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诉讼、仲裁案件办理过程中，承办单位应当认真收集和保存所有与案件有关的材料。案件终结，承办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应当对案件产生的原因及办理结果做出分析，并将分析报告和案件材料复印件报党政办公室归档。原件由承办单位存档。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NDE0ODBlN2JjOWM1YjRkOWZjYzUyODcxN2IzYmUifQ=="/>
  </w:docVars>
  <w:rsids>
    <w:rsidRoot w:val="11172B07"/>
    <w:rsid w:val="11172B07"/>
    <w:rsid w:val="40A3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2023-09-19T10:13:00Z</dcterms:created>
  <dc:creator>张东文</dc:creator>
  <cp:lastModifiedBy>张东文</cp:lastModifiedBy>
  <dcterms:modified xsi:type="dcterms:W3CDTF">2023-10-12T08:25:14Z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3F351629C9D34F79A7EDACABC48DEA9F_11</vt:lpwstr>
  </property>
</Properties>
</file>